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13" w:rsidRDefault="00A10713" w:rsidP="003405BA">
      <w:pPr>
        <w:spacing w:line="276" w:lineRule="auto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MICROSCALE ACETYLATION OF BENZOIN WITH ACETIC ANHYDRIDE</w:t>
      </w:r>
    </w:p>
    <w:p w:rsidR="00A10713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Default="00A10713" w:rsidP="003405BA">
      <w:pPr>
        <w:spacing w:line="276" w:lineRule="auto"/>
        <w:ind w:left="2520" w:hanging="2520"/>
        <w:jc w:val="both"/>
        <w:rPr>
          <w:sz w:val="20"/>
        </w:rPr>
      </w:pPr>
      <w:r w:rsidRPr="00C9675A">
        <w:rPr>
          <w:b/>
          <w:sz w:val="20"/>
          <w:u w:val="single"/>
        </w:rPr>
        <w:t>Required Pre-lab Readings</w:t>
      </w:r>
      <w:r>
        <w:rPr>
          <w:sz w:val="20"/>
          <w:u w:val="single"/>
        </w:rPr>
        <w:t>:</w:t>
      </w:r>
      <w:r>
        <w:rPr>
          <w:sz w:val="20"/>
        </w:rPr>
        <w:tab/>
        <w:t>McMurry, sect. 1</w:t>
      </w:r>
      <w:r w:rsidR="000A437C">
        <w:rPr>
          <w:sz w:val="20"/>
        </w:rPr>
        <w:t xml:space="preserve">6.3 pp 654-655 &amp; sect 16.5, pp </w:t>
      </w:r>
      <w:r>
        <w:rPr>
          <w:sz w:val="20"/>
        </w:rPr>
        <w:t>806-807</w:t>
      </w:r>
    </w:p>
    <w:p w:rsidR="00A10713" w:rsidRDefault="00A10713" w:rsidP="003405BA">
      <w:pPr>
        <w:tabs>
          <w:tab w:val="left" w:pos="2880"/>
        </w:tabs>
        <w:spacing w:line="276" w:lineRule="auto"/>
        <w:jc w:val="both"/>
        <w:rPr>
          <w:sz w:val="20"/>
        </w:rPr>
      </w:pPr>
      <w:r>
        <w:rPr>
          <w:sz w:val="20"/>
        </w:rPr>
        <w:tab/>
      </w:r>
      <w:r w:rsidR="000A437C">
        <w:rPr>
          <w:sz w:val="20"/>
        </w:rPr>
        <w:t>Padias</w:t>
      </w:r>
      <w:r>
        <w:rPr>
          <w:sz w:val="20"/>
        </w:rPr>
        <w:t xml:space="preserve">, </w:t>
      </w:r>
      <w:r w:rsidR="000A437C">
        <w:rPr>
          <w:sz w:val="20"/>
        </w:rPr>
        <w:t>pp 121-125</w:t>
      </w:r>
    </w:p>
    <w:p w:rsidR="00A10713" w:rsidRDefault="00A10713" w:rsidP="003405BA">
      <w:pPr>
        <w:spacing w:line="276" w:lineRule="auto"/>
        <w:jc w:val="both"/>
        <w:rPr>
          <w:sz w:val="20"/>
          <w:u w:val="single"/>
        </w:rPr>
      </w:pPr>
    </w:p>
    <w:p w:rsidR="00A10713" w:rsidRDefault="00A10713" w:rsidP="003405BA">
      <w:pPr>
        <w:spacing w:line="276" w:lineRule="auto"/>
        <w:jc w:val="both"/>
        <w:rPr>
          <w:sz w:val="20"/>
        </w:rPr>
      </w:pPr>
      <w:r w:rsidRPr="00C9675A">
        <w:rPr>
          <w:b/>
          <w:sz w:val="20"/>
          <w:u w:val="single"/>
        </w:rPr>
        <w:t>Techniques you must be prepared to use</w:t>
      </w:r>
      <w:r>
        <w:rPr>
          <w:sz w:val="20"/>
          <w:u w:val="single"/>
        </w:rPr>
        <w:t>:</w:t>
      </w:r>
      <w:r>
        <w:rPr>
          <w:sz w:val="20"/>
        </w:rPr>
        <w:t xml:space="preserve"> microscale recrystallization</w:t>
      </w:r>
    </w:p>
    <w:p w:rsidR="00A10713" w:rsidRDefault="00A10713" w:rsidP="003405BA">
      <w:pPr>
        <w:spacing w:line="276" w:lineRule="auto"/>
        <w:jc w:val="both"/>
        <w:rPr>
          <w:sz w:val="20"/>
        </w:rPr>
      </w:pPr>
    </w:p>
    <w:p w:rsidR="008128B5" w:rsidRDefault="008128B5" w:rsidP="003405BA">
      <w:pPr>
        <w:spacing w:line="276" w:lineRule="auto"/>
        <w:rPr>
          <w:sz w:val="20"/>
        </w:rPr>
      </w:pPr>
      <w:r>
        <w:rPr>
          <w:sz w:val="20"/>
        </w:rPr>
        <w:t xml:space="preserve">Esters are most often associated with their characteristic smells. A number of common esters and their smells are shown below. Esters also have </w:t>
      </w:r>
      <w:r w:rsidR="00C66628">
        <w:rPr>
          <w:sz w:val="20"/>
        </w:rPr>
        <w:t>other</w:t>
      </w:r>
      <w:r>
        <w:rPr>
          <w:sz w:val="20"/>
        </w:rPr>
        <w:t xml:space="preserve"> important </w:t>
      </w:r>
      <w:r w:rsidR="00C66628">
        <w:rPr>
          <w:sz w:val="20"/>
        </w:rPr>
        <w:t>uses ranging from cell membranes to plastics.</w:t>
      </w:r>
    </w:p>
    <w:p w:rsidR="00A10713" w:rsidRDefault="00822289" w:rsidP="003405BA">
      <w:pPr>
        <w:spacing w:line="276" w:lineRule="auto"/>
        <w:rPr>
          <w:sz w:val="20"/>
        </w:rPr>
      </w:pPr>
      <w:r w:rsidRPr="00AD0FAE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style="width:468pt;height:177pt;visibility:visible">
            <v:imagedata r:id="rId7" o:title=""/>
          </v:shape>
        </w:pict>
      </w:r>
    </w:p>
    <w:p w:rsidR="009F6889" w:rsidRDefault="009F6889" w:rsidP="003405BA">
      <w:pPr>
        <w:spacing w:line="276" w:lineRule="auto"/>
        <w:rPr>
          <w:sz w:val="20"/>
        </w:rPr>
      </w:pPr>
    </w:p>
    <w:p w:rsidR="00A10713" w:rsidRDefault="00A10713" w:rsidP="003405BA">
      <w:pPr>
        <w:spacing w:line="276" w:lineRule="auto"/>
        <w:rPr>
          <w:sz w:val="20"/>
        </w:rPr>
      </w:pPr>
      <w:r>
        <w:rPr>
          <w:sz w:val="20"/>
        </w:rPr>
        <w:t>Esters can be synthesized by the acid catalyzed reaction of an alcohol with either a carboxylic acid, an acid chloride, or an anhydride.</w:t>
      </w:r>
      <w:r w:rsidR="005F4B93">
        <w:rPr>
          <w:sz w:val="20"/>
        </w:rPr>
        <w:t xml:space="preserve"> </w:t>
      </w:r>
      <w:r>
        <w:rPr>
          <w:sz w:val="20"/>
        </w:rPr>
        <w:t>In this experiment, you will perform the acetylation of benzoin, an alcohol, to benzoin acetate using acetic anhydride as shown below:</w:t>
      </w:r>
    </w:p>
    <w:p w:rsidR="00A10713" w:rsidRDefault="00A10713" w:rsidP="003405BA">
      <w:pPr>
        <w:spacing w:line="276" w:lineRule="auto"/>
        <w:rPr>
          <w:sz w:val="20"/>
        </w:rPr>
      </w:pPr>
    </w:p>
    <w:p w:rsidR="00A10713" w:rsidRDefault="00822289" w:rsidP="004C08A4">
      <w:pPr>
        <w:spacing w:line="276" w:lineRule="auto"/>
        <w:jc w:val="center"/>
      </w:pPr>
      <w:r w:rsidRPr="008F0E2C">
        <w:rPr>
          <w:noProof/>
        </w:rPr>
        <w:pict>
          <v:shape id="Picture 1" o:spid="_x0000_i1026" type="#_x0000_t75" style="width:294pt;height:76.5pt;visibility:visible">
            <v:imagedata r:id="rId8" o:title=""/>
          </v:shape>
        </w:pict>
      </w:r>
    </w:p>
    <w:p w:rsidR="00A10713" w:rsidRDefault="00A10713" w:rsidP="003405BA">
      <w:pPr>
        <w:spacing w:line="276" w:lineRule="auto"/>
        <w:rPr>
          <w:sz w:val="20"/>
        </w:rPr>
      </w:pPr>
    </w:p>
    <w:p w:rsidR="00A10713" w:rsidRDefault="00A10713" w:rsidP="003405BA">
      <w:pPr>
        <w:spacing w:line="276" w:lineRule="auto"/>
        <w:jc w:val="both"/>
        <w:rPr>
          <w:sz w:val="20"/>
        </w:rPr>
      </w:pPr>
      <w:r>
        <w:rPr>
          <w:sz w:val="20"/>
        </w:rPr>
        <w:t>As you read in the pre-lab assignment, a strong acid is used to protonate the anhydride to begin the reaction.</w:t>
      </w:r>
      <w:r w:rsidR="005F4B93">
        <w:rPr>
          <w:sz w:val="20"/>
        </w:rPr>
        <w:t xml:space="preserve"> </w:t>
      </w:r>
      <w:r>
        <w:rPr>
          <w:sz w:val="20"/>
        </w:rPr>
        <w:t>The alcohol then acts as the nucleophile and attacks the electrophilic ca</w:t>
      </w:r>
      <w:r w:rsidR="005F4B93">
        <w:rPr>
          <w:sz w:val="20"/>
        </w:rPr>
        <w:t>rbonyl carbon of the anhydride.</w:t>
      </w:r>
      <w:r>
        <w:rPr>
          <w:sz w:val="20"/>
        </w:rPr>
        <w:t xml:space="preserve"> These types of reactions are reversible.</w:t>
      </w:r>
      <w:r w:rsidR="005F4B93">
        <w:rPr>
          <w:sz w:val="20"/>
        </w:rPr>
        <w:t xml:space="preserve"> </w:t>
      </w:r>
      <w:r>
        <w:rPr>
          <w:sz w:val="20"/>
        </w:rPr>
        <w:t>How do you prevent the reverse reaction from occurring in the lab?</w:t>
      </w:r>
    </w:p>
    <w:p w:rsidR="00A10713" w:rsidRDefault="00A10713" w:rsidP="003405BA">
      <w:pPr>
        <w:spacing w:line="276" w:lineRule="auto"/>
        <w:jc w:val="both"/>
        <w:rPr>
          <w:rFonts w:ascii="Symbol" w:hAnsi="Symbol"/>
          <w:sz w:val="20"/>
        </w:rPr>
      </w:pPr>
    </w:p>
    <w:p w:rsidR="00A10713" w:rsidRPr="004C08A4" w:rsidRDefault="00A10713" w:rsidP="003405BA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This </w:t>
      </w:r>
      <w:r w:rsidR="005F4B93">
        <w:rPr>
          <w:sz w:val="20"/>
        </w:rPr>
        <w:t>experiment is another example of a</w:t>
      </w:r>
      <w:r>
        <w:rPr>
          <w:sz w:val="20"/>
        </w:rPr>
        <w:t xml:space="preserve"> </w:t>
      </w:r>
      <w:r w:rsidR="005F4B93">
        <w:rPr>
          <w:sz w:val="20"/>
        </w:rPr>
        <w:t>microscale reaction</w:t>
      </w:r>
      <w:r>
        <w:rPr>
          <w:sz w:val="20"/>
        </w:rPr>
        <w:t xml:space="preserve"> </w:t>
      </w:r>
      <w:r w:rsidR="005F4B93">
        <w:rPr>
          <w:sz w:val="20"/>
        </w:rPr>
        <w:t>Remember, m</w:t>
      </w:r>
      <w:r>
        <w:rPr>
          <w:sz w:val="20"/>
        </w:rPr>
        <w:t>icroscale experiments have advantages</w:t>
      </w:r>
      <w:r w:rsidR="005F4B93">
        <w:rPr>
          <w:sz w:val="20"/>
        </w:rPr>
        <w:t xml:space="preserve"> and disadvantages. Advantages include </w:t>
      </w:r>
      <w:r>
        <w:rPr>
          <w:sz w:val="20"/>
        </w:rPr>
        <w:t>being less expensive, less polluting, and using less equipment than larger scale reactions.</w:t>
      </w:r>
      <w:r w:rsidR="005F4B93">
        <w:rPr>
          <w:sz w:val="20"/>
        </w:rPr>
        <w:t xml:space="preserve"> </w:t>
      </w:r>
      <w:r>
        <w:rPr>
          <w:sz w:val="20"/>
        </w:rPr>
        <w:t xml:space="preserve">They </w:t>
      </w:r>
      <w:r w:rsidR="00081D34">
        <w:rPr>
          <w:sz w:val="20"/>
        </w:rPr>
        <w:t xml:space="preserve">are </w:t>
      </w:r>
      <w:r>
        <w:rPr>
          <w:sz w:val="20"/>
        </w:rPr>
        <w:t xml:space="preserve">also </w:t>
      </w:r>
      <w:r w:rsidR="00081D34">
        <w:rPr>
          <w:sz w:val="20"/>
        </w:rPr>
        <w:t>generally</w:t>
      </w:r>
      <w:r>
        <w:rPr>
          <w:sz w:val="20"/>
        </w:rPr>
        <w:t xml:space="preserve"> faster, so if anything goes wrong, </w:t>
      </w:r>
      <w:r w:rsidR="00081D34">
        <w:rPr>
          <w:sz w:val="20"/>
        </w:rPr>
        <w:t>one has</w:t>
      </w:r>
      <w:r>
        <w:rPr>
          <w:sz w:val="20"/>
        </w:rPr>
        <w:t xml:space="preserve"> time to repeat the experiment.</w:t>
      </w:r>
      <w:r w:rsidR="005F4B93">
        <w:rPr>
          <w:sz w:val="20"/>
        </w:rPr>
        <w:t xml:space="preserve"> </w:t>
      </w:r>
      <w:r w:rsidR="00081D34">
        <w:rPr>
          <w:sz w:val="20"/>
        </w:rPr>
        <w:t>Some of the</w:t>
      </w:r>
      <w:r>
        <w:rPr>
          <w:sz w:val="20"/>
        </w:rPr>
        <w:t xml:space="preserve"> disadvantages </w:t>
      </w:r>
      <w:r w:rsidR="00081D34">
        <w:rPr>
          <w:sz w:val="20"/>
        </w:rPr>
        <w:t xml:space="preserve">are </w:t>
      </w:r>
      <w:r>
        <w:rPr>
          <w:sz w:val="20"/>
        </w:rPr>
        <w:t xml:space="preserve">that reagents and products </w:t>
      </w:r>
      <w:r w:rsidR="00081D34">
        <w:rPr>
          <w:sz w:val="20"/>
        </w:rPr>
        <w:t xml:space="preserve">must be measured </w:t>
      </w:r>
      <w:r>
        <w:rPr>
          <w:sz w:val="20"/>
        </w:rPr>
        <w:t>more carefully and</w:t>
      </w:r>
      <w:r w:rsidR="00081D34">
        <w:rPr>
          <w:sz w:val="20"/>
        </w:rPr>
        <w:t xml:space="preserve"> one must</w:t>
      </w:r>
      <w:r>
        <w:rPr>
          <w:sz w:val="20"/>
        </w:rPr>
        <w:t xml:space="preserve"> work more carefully </w:t>
      </w:r>
      <w:r w:rsidR="00081D34">
        <w:rPr>
          <w:sz w:val="20"/>
        </w:rPr>
        <w:t>to avoid</w:t>
      </w:r>
      <w:r>
        <w:rPr>
          <w:sz w:val="20"/>
        </w:rPr>
        <w:t xml:space="preserve"> losses in transferring materials.</w:t>
      </w:r>
    </w:p>
    <w:p w:rsidR="00A10713" w:rsidRDefault="003405BA" w:rsidP="003405BA">
      <w:pPr>
        <w:spacing w:line="276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  <w:r w:rsidR="00A10713">
        <w:rPr>
          <w:b/>
          <w:sz w:val="20"/>
          <w:u w:val="single"/>
        </w:rPr>
        <w:lastRenderedPageBreak/>
        <w:t>Synthesis</w:t>
      </w:r>
    </w:p>
    <w:p w:rsidR="00A10713" w:rsidRDefault="00A10713" w:rsidP="003405BA">
      <w:pPr>
        <w:spacing w:line="276" w:lineRule="auto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Caution:</w:t>
      </w:r>
      <w:r w:rsidR="005F4B93">
        <w:rPr>
          <w:b/>
          <w:sz w:val="20"/>
        </w:rPr>
        <w:t xml:space="preserve"> </w:t>
      </w:r>
      <w:r>
        <w:rPr>
          <w:sz w:val="20"/>
        </w:rPr>
        <w:t>Take care in handling the chemicals in this experiment.</w:t>
      </w:r>
    </w:p>
    <w:p w:rsidR="00A10713" w:rsidRDefault="00A10713" w:rsidP="003405BA">
      <w:pPr>
        <w:spacing w:line="276" w:lineRule="auto"/>
        <w:jc w:val="both"/>
        <w:rPr>
          <w:sz w:val="20"/>
        </w:rPr>
      </w:pPr>
    </w:p>
    <w:p w:rsidR="00A10713" w:rsidRDefault="00A10713" w:rsidP="003405BA">
      <w:pPr>
        <w:spacing w:line="276" w:lineRule="auto"/>
        <w:jc w:val="both"/>
        <w:rPr>
          <w:sz w:val="20"/>
        </w:rPr>
      </w:pPr>
      <w:r>
        <w:rPr>
          <w:sz w:val="20"/>
        </w:rPr>
        <w:tab/>
        <w:t>Prepare a boiling water bath in a 400 mL beaker on a hot plate.</w:t>
      </w:r>
      <w:r w:rsidR="005F4B93">
        <w:rPr>
          <w:sz w:val="20"/>
        </w:rPr>
        <w:t xml:space="preserve"> </w:t>
      </w:r>
      <w:r>
        <w:rPr>
          <w:sz w:val="20"/>
        </w:rPr>
        <w:t xml:space="preserve">Meanwhile, </w:t>
      </w:r>
      <w:r w:rsidR="005622A8">
        <w:rPr>
          <w:sz w:val="20"/>
        </w:rPr>
        <w:t xml:space="preserve">weigh out </w:t>
      </w:r>
      <w:r>
        <w:rPr>
          <w:sz w:val="20"/>
        </w:rPr>
        <w:t>0</w:t>
      </w:r>
      <w:r w:rsidR="005622A8">
        <w:rPr>
          <w:sz w:val="20"/>
        </w:rPr>
        <w:t>.50 mmol</w:t>
      </w:r>
      <w:r>
        <w:rPr>
          <w:sz w:val="20"/>
        </w:rPr>
        <w:t xml:space="preserve"> of benzoin </w:t>
      </w:r>
      <w:r w:rsidR="005622A8">
        <w:rPr>
          <w:sz w:val="20"/>
        </w:rPr>
        <w:t xml:space="preserve">(____ mg) </w:t>
      </w:r>
      <w:r>
        <w:rPr>
          <w:sz w:val="20"/>
        </w:rPr>
        <w:t>on an analytical balance</w:t>
      </w:r>
      <w:r w:rsidR="005622A8">
        <w:rPr>
          <w:sz w:val="20"/>
        </w:rPr>
        <w:t xml:space="preserve"> and place it</w:t>
      </w:r>
      <w:r w:rsidR="005622A8" w:rsidRPr="005622A8">
        <w:rPr>
          <w:sz w:val="20"/>
        </w:rPr>
        <w:t xml:space="preserve"> </w:t>
      </w:r>
      <w:r w:rsidR="005622A8">
        <w:rPr>
          <w:sz w:val="20"/>
        </w:rPr>
        <w:t>in a 6 in. test tube</w:t>
      </w:r>
      <w:r>
        <w:rPr>
          <w:sz w:val="20"/>
        </w:rPr>
        <w:t>.</w:t>
      </w:r>
      <w:r w:rsidR="005F4B93">
        <w:rPr>
          <w:sz w:val="20"/>
        </w:rPr>
        <w:t xml:space="preserve"> </w:t>
      </w:r>
      <w:r>
        <w:rPr>
          <w:sz w:val="20"/>
        </w:rPr>
        <w:t xml:space="preserve">To the same test tube, add, in order, 6 drops of glacial acetic acid, about 1 mL of acetic anhydride, and 1 drop of concentrated sulfuric acid, with stirring. </w:t>
      </w:r>
    </w:p>
    <w:p w:rsidR="00A10713" w:rsidRDefault="00A10713" w:rsidP="003405BA">
      <w:pPr>
        <w:spacing w:line="276" w:lineRule="auto"/>
        <w:jc w:val="both"/>
        <w:rPr>
          <w:sz w:val="20"/>
        </w:rPr>
      </w:pPr>
      <w:r>
        <w:rPr>
          <w:sz w:val="20"/>
        </w:rPr>
        <w:tab/>
      </w:r>
    </w:p>
    <w:p w:rsidR="00A10713" w:rsidRDefault="00A10713" w:rsidP="003405BA">
      <w:pPr>
        <w:spacing w:line="276" w:lineRule="auto"/>
        <w:jc w:val="both"/>
        <w:rPr>
          <w:sz w:val="20"/>
        </w:rPr>
      </w:pPr>
      <w:r>
        <w:rPr>
          <w:sz w:val="20"/>
        </w:rPr>
        <w:tab/>
        <w:t>Heat the mixture in the boiling water bath for 15 minutes.</w:t>
      </w:r>
      <w:r w:rsidR="005F4B93">
        <w:rPr>
          <w:sz w:val="20"/>
        </w:rPr>
        <w:t xml:space="preserve"> </w:t>
      </w:r>
      <w:r>
        <w:rPr>
          <w:sz w:val="20"/>
        </w:rPr>
        <w:t>Remove the test tube from the bath and add 10 mL of cold water.</w:t>
      </w:r>
      <w:r w:rsidR="005F4B93">
        <w:rPr>
          <w:sz w:val="20"/>
        </w:rPr>
        <w:t xml:space="preserve"> </w:t>
      </w:r>
      <w:r>
        <w:rPr>
          <w:sz w:val="20"/>
        </w:rPr>
        <w:t xml:space="preserve">Chill in an ice bath, with occasional stirring, until precipitation of the product is complete. If an oil forms, scratch </w:t>
      </w:r>
      <w:r w:rsidR="0036644C">
        <w:rPr>
          <w:sz w:val="20"/>
        </w:rPr>
        <w:t>the inside of the test tube</w:t>
      </w:r>
      <w:r>
        <w:rPr>
          <w:sz w:val="20"/>
        </w:rPr>
        <w:t xml:space="preserve"> with a glass stir rod to induce precipitation.</w:t>
      </w:r>
      <w:r w:rsidR="005F4B93">
        <w:rPr>
          <w:sz w:val="20"/>
        </w:rPr>
        <w:t xml:space="preserve"> </w:t>
      </w:r>
      <w:r>
        <w:rPr>
          <w:sz w:val="20"/>
        </w:rPr>
        <w:t>Remove the water layer with a pipet.</w:t>
      </w:r>
      <w:r w:rsidR="005F4B93">
        <w:rPr>
          <w:sz w:val="20"/>
        </w:rPr>
        <w:t xml:space="preserve"> </w:t>
      </w:r>
    </w:p>
    <w:p w:rsidR="00A10713" w:rsidRDefault="00A10713" w:rsidP="003405BA">
      <w:pPr>
        <w:spacing w:line="276" w:lineRule="auto"/>
        <w:jc w:val="both"/>
        <w:rPr>
          <w:sz w:val="20"/>
        </w:rPr>
      </w:pPr>
      <w:r>
        <w:rPr>
          <w:sz w:val="20"/>
        </w:rPr>
        <w:tab/>
      </w:r>
    </w:p>
    <w:p w:rsidR="00A10713" w:rsidRDefault="00A10713" w:rsidP="003405BA">
      <w:pPr>
        <w:spacing w:line="276" w:lineRule="auto"/>
        <w:jc w:val="both"/>
        <w:rPr>
          <w:sz w:val="20"/>
        </w:rPr>
      </w:pPr>
      <w:r>
        <w:rPr>
          <w:sz w:val="20"/>
        </w:rPr>
        <w:tab/>
        <w:t>To recrystallize the residue, add 2-4 mL of methanol and warm to dissolve the product.</w:t>
      </w:r>
      <w:r w:rsidR="005F4B93">
        <w:rPr>
          <w:sz w:val="20"/>
        </w:rPr>
        <w:t xml:space="preserve"> </w:t>
      </w:r>
      <w:r>
        <w:rPr>
          <w:sz w:val="20"/>
        </w:rPr>
        <w:t>Cool slightly, then chill in an ice bath.</w:t>
      </w:r>
      <w:r w:rsidR="005F4B93">
        <w:rPr>
          <w:sz w:val="20"/>
        </w:rPr>
        <w:t xml:space="preserve"> </w:t>
      </w:r>
      <w:r>
        <w:rPr>
          <w:sz w:val="20"/>
        </w:rPr>
        <w:t>Again, if an oil results, diligent scratching will produce a solid.</w:t>
      </w:r>
      <w:r w:rsidR="005F4B93">
        <w:rPr>
          <w:sz w:val="20"/>
        </w:rPr>
        <w:t xml:space="preserve"> </w:t>
      </w:r>
      <w:r>
        <w:rPr>
          <w:sz w:val="20"/>
        </w:rPr>
        <w:t xml:space="preserve">Isolate the final product using </w:t>
      </w:r>
      <w:r w:rsidR="0036644C">
        <w:rPr>
          <w:sz w:val="20"/>
        </w:rPr>
        <w:t>a microscale Hirsch funnel</w:t>
      </w:r>
      <w:r>
        <w:rPr>
          <w:sz w:val="20"/>
        </w:rPr>
        <w:t xml:space="preserve"> and wash the product with </w:t>
      </w:r>
      <w:r w:rsidR="0036644C">
        <w:rPr>
          <w:sz w:val="20"/>
        </w:rPr>
        <w:t xml:space="preserve">a small amount of </w:t>
      </w:r>
      <w:r>
        <w:rPr>
          <w:sz w:val="20"/>
        </w:rPr>
        <w:t>ice-cold methanol.</w:t>
      </w:r>
      <w:r w:rsidR="005F4B93">
        <w:rPr>
          <w:sz w:val="20"/>
        </w:rPr>
        <w:t xml:space="preserve"> </w:t>
      </w:r>
      <w:r>
        <w:rPr>
          <w:sz w:val="20"/>
        </w:rPr>
        <w:t>Record the mass and the melting point of the solid.</w:t>
      </w:r>
    </w:p>
    <w:p w:rsidR="00A10713" w:rsidRDefault="00A10713" w:rsidP="003405BA">
      <w:pPr>
        <w:spacing w:line="276" w:lineRule="auto"/>
        <w:jc w:val="both"/>
        <w:rPr>
          <w:sz w:val="20"/>
        </w:rPr>
      </w:pPr>
    </w:p>
    <w:p w:rsidR="00A10713" w:rsidRDefault="00A10713" w:rsidP="003405BA">
      <w:pPr>
        <w:spacing w:line="276" w:lineRule="auto"/>
        <w:jc w:val="both"/>
        <w:rPr>
          <w:sz w:val="20"/>
        </w:rPr>
      </w:pPr>
    </w:p>
    <w:p w:rsidR="00A10713" w:rsidRDefault="00A10713" w:rsidP="003405BA">
      <w:pPr>
        <w:spacing w:line="276" w:lineRule="auto"/>
        <w:ind w:left="360" w:hanging="360"/>
        <w:jc w:val="both"/>
        <w:rPr>
          <w:sz w:val="20"/>
        </w:rPr>
      </w:pPr>
      <w:r>
        <w:rPr>
          <w:rFonts w:ascii="Symbol" w:hAnsi="Symbol"/>
          <w:sz w:val="20"/>
        </w:rPr>
        <w:t></w:t>
      </w:r>
      <w:r>
        <w:rPr>
          <w:rFonts w:ascii="Symbol" w:hAnsi="Symbol"/>
          <w:sz w:val="20"/>
        </w:rPr>
        <w:tab/>
      </w:r>
      <w:r>
        <w:rPr>
          <w:sz w:val="20"/>
        </w:rPr>
        <w:t>Please turn in your product along with your lab report. The vial must have a label on it with the following information: 1) name, 2) lab day, 3) name or structure of compound, 4) weight.</w:t>
      </w:r>
    </w:p>
    <w:p w:rsidR="00A10713" w:rsidRDefault="00A10713" w:rsidP="003405BA">
      <w:pPr>
        <w:spacing w:line="276" w:lineRule="auto"/>
        <w:jc w:val="center"/>
        <w:rPr>
          <w:b/>
          <w:sz w:val="20"/>
        </w:rPr>
      </w:pPr>
      <w:r>
        <w:rPr>
          <w:sz w:val="20"/>
        </w:rPr>
        <w:br w:type="page"/>
      </w:r>
      <w:r>
        <w:rPr>
          <w:b/>
          <w:sz w:val="20"/>
        </w:rPr>
        <w:lastRenderedPageBreak/>
        <w:t>MICROSCALE ACETYLATION OF BENZOIN WITH ACETIC ANHYDRIDE</w:t>
      </w:r>
    </w:p>
    <w:p w:rsidR="00A10713" w:rsidRDefault="00A10713" w:rsidP="003405BA">
      <w:pPr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DATA SHEET</w:t>
      </w:r>
    </w:p>
    <w:p w:rsidR="00A10713" w:rsidRDefault="00A10713" w:rsidP="003405BA">
      <w:pPr>
        <w:spacing w:line="276" w:lineRule="auto"/>
        <w:jc w:val="center"/>
        <w:rPr>
          <w:b/>
          <w:sz w:val="20"/>
        </w:rPr>
      </w:pPr>
    </w:p>
    <w:p w:rsidR="00A10713" w:rsidRDefault="00A10713" w:rsidP="003405BA">
      <w:pPr>
        <w:spacing w:line="276" w:lineRule="auto"/>
        <w:jc w:val="center"/>
        <w:rPr>
          <w:b/>
          <w:sz w:val="20"/>
        </w:rPr>
      </w:pPr>
    </w:p>
    <w:p w:rsidR="00A10713" w:rsidRDefault="00A10713" w:rsidP="003405BA">
      <w:pPr>
        <w:spacing w:line="276" w:lineRule="auto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6"/>
        <w:gridCol w:w="4272"/>
        <w:gridCol w:w="2880"/>
        <w:gridCol w:w="1530"/>
      </w:tblGrid>
      <w:tr w:rsidR="006A3AE0" w:rsidRPr="00C145FA" w:rsidTr="00A10713">
        <w:tblPrEx>
          <w:tblCellMar>
            <w:top w:w="0" w:type="dxa"/>
            <w:bottom w:w="0" w:type="dxa"/>
          </w:tblCellMar>
        </w:tblPrEx>
        <w:tc>
          <w:tcPr>
            <w:tcW w:w="876" w:type="dxa"/>
          </w:tcPr>
          <w:p w:rsidR="006A3AE0" w:rsidRPr="00C145FA" w:rsidRDefault="006A3AE0" w:rsidP="003405BA">
            <w:pPr>
              <w:spacing w:line="276" w:lineRule="auto"/>
              <w:jc w:val="both"/>
              <w:rPr>
                <w:sz w:val="20"/>
                <w:lang w:bidi="ar-SA"/>
              </w:rPr>
            </w:pPr>
            <w:r w:rsidRPr="00C145FA">
              <w:rPr>
                <w:sz w:val="20"/>
                <w:lang w:bidi="ar-SA"/>
              </w:rPr>
              <w:t>Name:</w:t>
            </w:r>
          </w:p>
        </w:tc>
        <w:tc>
          <w:tcPr>
            <w:tcW w:w="4272" w:type="dxa"/>
            <w:tcBorders>
              <w:bottom w:val="single" w:sz="2" w:space="0" w:color="auto"/>
            </w:tcBorders>
          </w:tcPr>
          <w:p w:rsidR="006A3AE0" w:rsidRPr="00C145FA" w:rsidRDefault="006A3AE0" w:rsidP="003405BA">
            <w:pPr>
              <w:spacing w:line="276" w:lineRule="auto"/>
              <w:jc w:val="both"/>
              <w:rPr>
                <w:sz w:val="20"/>
                <w:lang w:bidi="ar-SA"/>
              </w:rPr>
            </w:pPr>
          </w:p>
        </w:tc>
        <w:tc>
          <w:tcPr>
            <w:tcW w:w="2880" w:type="dxa"/>
          </w:tcPr>
          <w:p w:rsidR="006A3AE0" w:rsidRPr="00C145FA" w:rsidRDefault="006A3AE0" w:rsidP="003405BA">
            <w:pPr>
              <w:spacing w:line="276" w:lineRule="auto"/>
              <w:jc w:val="right"/>
              <w:rPr>
                <w:sz w:val="20"/>
                <w:lang w:bidi="ar-SA"/>
              </w:rPr>
            </w:pPr>
            <w:r w:rsidRPr="00C145FA">
              <w:rPr>
                <w:sz w:val="20"/>
                <w:lang w:bidi="ar-SA"/>
              </w:rPr>
              <w:t>Section:</w:t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:rsidR="006A3AE0" w:rsidRPr="00C145FA" w:rsidRDefault="006A3AE0" w:rsidP="003405BA">
            <w:pPr>
              <w:spacing w:line="276" w:lineRule="auto"/>
              <w:jc w:val="both"/>
              <w:rPr>
                <w:sz w:val="20"/>
                <w:lang w:bidi="ar-SA"/>
              </w:rPr>
            </w:pPr>
          </w:p>
        </w:tc>
      </w:tr>
    </w:tbl>
    <w:p w:rsidR="00A10713" w:rsidRDefault="00A10713" w:rsidP="003405BA">
      <w:pPr>
        <w:spacing w:line="276" w:lineRule="auto"/>
        <w:rPr>
          <w:b/>
          <w:sz w:val="20"/>
          <w:u w:val="single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  <w:r w:rsidRPr="006832D4">
        <w:rPr>
          <w:sz w:val="20"/>
        </w:rPr>
        <w:t>Overall Reaction: (chemical drawing software)</w:t>
      </w: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48"/>
        <w:gridCol w:w="1800"/>
        <w:gridCol w:w="900"/>
        <w:gridCol w:w="2512"/>
        <w:gridCol w:w="278"/>
        <w:gridCol w:w="450"/>
        <w:gridCol w:w="1188"/>
      </w:tblGrid>
      <w:tr w:rsidR="00A10713" w:rsidRPr="005A71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  <w:r w:rsidRPr="005A71DF">
              <w:rPr>
                <w:sz w:val="20"/>
              </w:rPr>
              <w:t>Mass of benzoin: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  <w:r w:rsidRPr="005A71DF">
              <w:rPr>
                <w:sz w:val="20"/>
              </w:rPr>
              <w:t>Theo mmol benzoin acetate: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</w:tr>
      <w:tr w:rsidR="00A10713" w:rsidRPr="005A71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</w:tr>
      <w:tr w:rsidR="00A10713" w:rsidRPr="005A71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  <w:r w:rsidRPr="005A71DF">
              <w:rPr>
                <w:sz w:val="20"/>
              </w:rPr>
              <w:t>mmol of benzoin: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  <w:r w:rsidRPr="005A71DF">
              <w:rPr>
                <w:sz w:val="20"/>
              </w:rPr>
              <w:t>Theo mass benzoin acetate: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</w:tr>
      <w:tr w:rsidR="00A10713" w:rsidRPr="005A71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</w:tr>
      <w:tr w:rsidR="00A10713" w:rsidRPr="005A71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  <w:r w:rsidRPr="005A71DF">
              <w:rPr>
                <w:sz w:val="20"/>
              </w:rPr>
              <w:t>Volume acetic anhydride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  <w:r w:rsidRPr="005A71DF">
              <w:rPr>
                <w:sz w:val="20"/>
              </w:rPr>
              <w:t>Mass recovered benzoin acetate: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</w:tr>
      <w:tr w:rsidR="00A10713" w:rsidRPr="005A71DF">
        <w:tblPrEx>
          <w:tblLook w:val="01E0" w:firstRow="1" w:lastRow="1" w:firstColumn="1" w:lastColumn="1" w:noHBand="0" w:noVBand="0"/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</w:tr>
      <w:tr w:rsidR="00A10713" w:rsidRPr="005A71DF">
        <w:tblPrEx>
          <w:tblLook w:val="01E0" w:firstRow="1" w:lastRow="1" w:firstColumn="1" w:lastColumn="1" w:noHBand="0" w:noVBand="0"/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  <w:r w:rsidRPr="005A71DF">
              <w:rPr>
                <w:sz w:val="20"/>
              </w:rPr>
              <w:t>mmol acetic anhydride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  <w:r w:rsidRPr="005A71DF">
              <w:rPr>
                <w:sz w:val="20"/>
              </w:rPr>
              <w:t>mmol recovered benzoin acetate: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</w:tr>
      <w:tr w:rsidR="00A10713" w:rsidRPr="005A71DF">
        <w:tblPrEx>
          <w:tblLook w:val="01E0" w:firstRow="1" w:lastRow="1" w:firstColumn="1" w:lastColumn="1" w:noHBand="0" w:noVBand="0"/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</w:tr>
      <w:tr w:rsidR="00A10713" w:rsidRPr="005A71DF">
        <w:tblPrEx>
          <w:tblLook w:val="01E0" w:firstRow="1" w:lastRow="1" w:firstColumn="1" w:lastColumn="1" w:noHBand="0" w:noVBand="0"/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  <w:r w:rsidRPr="005A71DF">
              <w:rPr>
                <w:sz w:val="20"/>
              </w:rPr>
              <w:t>% yield benzoin acetate: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0713" w:rsidRPr="005A71DF" w:rsidRDefault="00A10713" w:rsidP="003405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0"/>
              </w:rPr>
            </w:pPr>
          </w:p>
        </w:tc>
      </w:tr>
    </w:tbl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  <w:u w:val="single"/>
        </w:rPr>
      </w:pPr>
      <w:r w:rsidRPr="006832D4">
        <w:rPr>
          <w:sz w:val="20"/>
        </w:rPr>
        <w:t>Observed melting point of recovered benzoin acetate:</w:t>
      </w:r>
      <w:r w:rsidR="005F4B93">
        <w:rPr>
          <w:sz w:val="20"/>
        </w:rPr>
        <w:t xml:space="preserve"> </w:t>
      </w:r>
      <w:r w:rsidRPr="006832D4">
        <w:rPr>
          <w:sz w:val="20"/>
          <w:u w:val="single"/>
        </w:rPr>
        <w:tab/>
      </w:r>
      <w:r w:rsidRPr="006832D4">
        <w:rPr>
          <w:sz w:val="20"/>
          <w:u w:val="single"/>
        </w:rPr>
        <w:tab/>
      </w:r>
      <w:r w:rsidRPr="006832D4">
        <w:rPr>
          <w:sz w:val="20"/>
          <w:u w:val="single"/>
        </w:rPr>
        <w:tab/>
      </w:r>
    </w:p>
    <w:p w:rsidR="00A10713" w:rsidRPr="006832D4" w:rsidRDefault="00A10713" w:rsidP="003405BA">
      <w:pPr>
        <w:spacing w:line="276" w:lineRule="auto"/>
        <w:jc w:val="both"/>
        <w:rPr>
          <w:sz w:val="20"/>
          <w:u w:val="single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  <w:r w:rsidRPr="006832D4">
        <w:rPr>
          <w:sz w:val="20"/>
        </w:rPr>
        <w:t>Literature melting point:</w:t>
      </w:r>
      <w:r w:rsidR="005F4B93">
        <w:rPr>
          <w:sz w:val="20"/>
        </w:rPr>
        <w:t xml:space="preserve"> </w:t>
      </w:r>
      <w:r w:rsidRPr="006832D4">
        <w:rPr>
          <w:sz w:val="20"/>
          <w:u w:val="single"/>
        </w:rPr>
        <w:tab/>
      </w:r>
      <w:r w:rsidRPr="006832D4">
        <w:rPr>
          <w:sz w:val="20"/>
          <w:u w:val="single"/>
        </w:rPr>
        <w:tab/>
      </w:r>
      <w:r w:rsidRPr="006832D4">
        <w:rPr>
          <w:sz w:val="20"/>
          <w:u w:val="single"/>
        </w:rPr>
        <w:tab/>
      </w:r>
      <w:r w:rsidRPr="006832D4">
        <w:rPr>
          <w:sz w:val="20"/>
          <w:u w:val="single"/>
        </w:rPr>
        <w:tab/>
      </w:r>
      <w:r w:rsidRPr="006832D4">
        <w:rPr>
          <w:sz w:val="20"/>
          <w:u w:val="single"/>
        </w:rPr>
        <w:tab/>
      </w: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  <w:r w:rsidRPr="006832D4">
        <w:rPr>
          <w:sz w:val="20"/>
        </w:rPr>
        <w:t>Literature source:</w:t>
      </w: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  <w:r w:rsidRPr="006832D4">
        <w:rPr>
          <w:sz w:val="20"/>
        </w:rPr>
        <w:t>Show complete calculations: (notebook)</w:t>
      </w: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  <w:r w:rsidRPr="006832D4">
        <w:rPr>
          <w:b/>
          <w:sz w:val="20"/>
        </w:rPr>
        <w:t>Post Lab Questions:</w:t>
      </w: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Pr="006A3AE0" w:rsidRDefault="00A10713" w:rsidP="003405BA">
      <w:pPr>
        <w:spacing w:line="276" w:lineRule="auto"/>
        <w:ind w:left="360" w:hanging="360"/>
        <w:jc w:val="both"/>
        <w:rPr>
          <w:sz w:val="20"/>
        </w:rPr>
      </w:pPr>
      <w:r w:rsidRPr="006A3AE0">
        <w:rPr>
          <w:sz w:val="20"/>
        </w:rPr>
        <w:t>1.</w:t>
      </w:r>
      <w:r w:rsidRPr="006A3AE0">
        <w:rPr>
          <w:sz w:val="20"/>
        </w:rPr>
        <w:tab/>
        <w:t>Why is a strong acid, such as sulfuric acid, used in a Fischer esterification reaction when there is already a carboxylic acid present?</w:t>
      </w:r>
    </w:p>
    <w:p w:rsidR="00A10713" w:rsidRPr="006A3AE0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Pr="006A3AE0" w:rsidRDefault="00A10713" w:rsidP="003405BA">
      <w:pPr>
        <w:spacing w:line="276" w:lineRule="auto"/>
        <w:ind w:left="270" w:hanging="270"/>
        <w:jc w:val="both"/>
        <w:rPr>
          <w:sz w:val="20"/>
        </w:rPr>
      </w:pPr>
      <w:r w:rsidRPr="006832D4">
        <w:rPr>
          <w:b/>
          <w:sz w:val="20"/>
        </w:rPr>
        <w:br w:type="page"/>
      </w:r>
      <w:r w:rsidRPr="006A3AE0">
        <w:rPr>
          <w:sz w:val="20"/>
        </w:rPr>
        <w:lastRenderedPageBreak/>
        <w:t>2.</w:t>
      </w:r>
      <w:r w:rsidRPr="006A3AE0">
        <w:rPr>
          <w:sz w:val="20"/>
        </w:rPr>
        <w:tab/>
        <w:t xml:space="preserve">Write out the complete mechanism for this reaction: (Hint: remember that under strongly acidic conditions, you should not generate even </w:t>
      </w:r>
      <w:r w:rsidRPr="006A3AE0">
        <w:rPr>
          <w:sz w:val="20"/>
          <w:u w:val="single"/>
        </w:rPr>
        <w:t>moderately weak bases</w:t>
      </w:r>
      <w:r w:rsidRPr="006A3AE0">
        <w:rPr>
          <w:sz w:val="20"/>
        </w:rPr>
        <w:t xml:space="preserve"> in your mechanism.)</w:t>
      </w:r>
    </w:p>
    <w:p w:rsidR="00A10713" w:rsidRPr="006A3AE0" w:rsidRDefault="00A10713" w:rsidP="003405BA">
      <w:pPr>
        <w:spacing w:line="276" w:lineRule="auto"/>
        <w:ind w:left="270" w:hanging="270"/>
        <w:jc w:val="both"/>
        <w:rPr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Default="00A10713" w:rsidP="005622A8">
      <w:pPr>
        <w:spacing w:line="276" w:lineRule="auto"/>
        <w:jc w:val="both"/>
        <w:rPr>
          <w:b/>
          <w:sz w:val="20"/>
        </w:rPr>
      </w:pPr>
    </w:p>
    <w:p w:rsidR="004C08A4" w:rsidRPr="006832D4" w:rsidRDefault="004C08A4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832D4" w:rsidRDefault="00A10713" w:rsidP="004C08A4">
      <w:pPr>
        <w:spacing w:line="276" w:lineRule="auto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ind w:left="270" w:hanging="270"/>
        <w:jc w:val="both"/>
        <w:rPr>
          <w:b/>
          <w:sz w:val="20"/>
        </w:rPr>
      </w:pPr>
    </w:p>
    <w:p w:rsidR="00A10713" w:rsidRPr="006A3AE0" w:rsidRDefault="0036644C" w:rsidP="003405BA">
      <w:pPr>
        <w:spacing w:line="276" w:lineRule="auto"/>
        <w:ind w:left="270" w:hanging="270"/>
        <w:jc w:val="both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Use the a,b,</w:t>
      </w:r>
      <w:r w:rsidR="00A10713" w:rsidRPr="006A3AE0">
        <w:rPr>
          <w:sz w:val="20"/>
        </w:rPr>
        <w:t>c</w:t>
      </w:r>
      <w:r>
        <w:rPr>
          <w:sz w:val="20"/>
        </w:rPr>
        <w:t>…</w:t>
      </w:r>
      <w:r w:rsidR="00A10713" w:rsidRPr="006A3AE0">
        <w:rPr>
          <w:sz w:val="20"/>
        </w:rPr>
        <w:t xml:space="preserve"> system to label the nonequivalent protons in the structure below.</w:t>
      </w:r>
      <w:r w:rsidR="005F4B93">
        <w:rPr>
          <w:sz w:val="20"/>
        </w:rPr>
        <w:t xml:space="preserve"> </w:t>
      </w:r>
      <w:r w:rsidR="00A10713" w:rsidRPr="006A3AE0">
        <w:rPr>
          <w:sz w:val="20"/>
        </w:rPr>
        <w:t xml:space="preserve">Then complete the chart with the information you would expect from the </w:t>
      </w:r>
      <w:r w:rsidR="00A10713" w:rsidRPr="006A3AE0">
        <w:rPr>
          <w:sz w:val="20"/>
          <w:vertAlign w:val="superscript"/>
        </w:rPr>
        <w:t>1</w:t>
      </w:r>
      <w:r w:rsidR="00A10713" w:rsidRPr="006A3AE0">
        <w:rPr>
          <w:sz w:val="20"/>
        </w:rPr>
        <w:t>H NMR spectrum of the compound shown.</w:t>
      </w: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Pr="006832D4" w:rsidRDefault="00822289" w:rsidP="003405BA">
      <w:pPr>
        <w:spacing w:line="276" w:lineRule="auto"/>
        <w:jc w:val="center"/>
        <w:rPr>
          <w:b/>
          <w:sz w:val="20"/>
        </w:rPr>
      </w:pPr>
      <w:r w:rsidRPr="006832D4">
        <w:rPr>
          <w:b/>
          <w:noProof/>
          <w:sz w:val="20"/>
        </w:rPr>
        <w:pict>
          <v:shape id="_x0000_i1027" type="#_x0000_t75" style="width:165pt;height:74.25pt">
            <v:imagedata r:id="rId9" o:title=""/>
          </v:shape>
        </w:pict>
      </w: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p w:rsidR="00A10713" w:rsidRPr="006832D4" w:rsidRDefault="00A10713" w:rsidP="003405BA">
      <w:pPr>
        <w:tabs>
          <w:tab w:val="left" w:pos="4680"/>
        </w:tabs>
        <w:spacing w:line="276" w:lineRule="auto"/>
        <w:rPr>
          <w:sz w:val="20"/>
        </w:rPr>
      </w:pPr>
    </w:p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32"/>
        <w:gridCol w:w="1832"/>
        <w:gridCol w:w="1832"/>
        <w:gridCol w:w="1832"/>
        <w:gridCol w:w="1832"/>
      </w:tblGrid>
      <w:tr w:rsidR="00A10713" w:rsidRPr="006832D4"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  <w:r w:rsidRPr="00F56BB8">
              <w:rPr>
                <w:rFonts w:ascii="Symbol" w:hAnsi="Symbol"/>
                <w:sz w:val="20"/>
              </w:rPr>
              <w:t></w:t>
            </w:r>
            <w:r w:rsidRPr="006832D4">
              <w:rPr>
                <w:sz w:val="20"/>
              </w:rPr>
              <w:t xml:space="preserve"> (ppm)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  <w:r w:rsidRPr="006832D4">
              <w:rPr>
                <w:sz w:val="20"/>
              </w:rPr>
              <w:t>Multiplicity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  <w:r w:rsidRPr="006832D4">
              <w:rPr>
                <w:sz w:val="20"/>
              </w:rPr>
              <w:t>J, Hz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  <w:r w:rsidRPr="006832D4">
              <w:rPr>
                <w:sz w:val="20"/>
              </w:rPr>
              <w:t>Number of H’s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  <w:r w:rsidRPr="006832D4">
              <w:rPr>
                <w:sz w:val="20"/>
              </w:rPr>
              <w:t>Identification</w:t>
            </w:r>
          </w:p>
        </w:tc>
      </w:tr>
      <w:tr w:rsidR="00A10713" w:rsidRPr="006832D4">
        <w:tc>
          <w:tcPr>
            <w:tcW w:w="1832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ub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</w:tr>
      <w:tr w:rsidR="00A10713" w:rsidRPr="006832D4"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</w:tr>
      <w:tr w:rsidR="00A10713" w:rsidRPr="006832D4"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</w:tr>
      <w:tr w:rsidR="00A10713" w:rsidRPr="006832D4"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</w:tr>
      <w:tr w:rsidR="00A10713" w:rsidRPr="006832D4"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</w:tr>
      <w:tr w:rsidR="00A10713" w:rsidRPr="006832D4"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</w:tr>
      <w:tr w:rsidR="00A10713" w:rsidRPr="006832D4"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0713" w:rsidRPr="006832D4" w:rsidRDefault="00A10713" w:rsidP="004C08A4">
            <w:pPr>
              <w:tabs>
                <w:tab w:val="left" w:pos="4680"/>
              </w:tabs>
              <w:spacing w:line="480" w:lineRule="auto"/>
              <w:jc w:val="center"/>
              <w:rPr>
                <w:sz w:val="20"/>
              </w:rPr>
            </w:pPr>
          </w:p>
        </w:tc>
      </w:tr>
    </w:tbl>
    <w:p w:rsidR="00A10713" w:rsidRPr="006832D4" w:rsidRDefault="00A10713" w:rsidP="003405BA">
      <w:pPr>
        <w:spacing w:line="276" w:lineRule="auto"/>
        <w:jc w:val="both"/>
        <w:rPr>
          <w:b/>
          <w:sz w:val="20"/>
        </w:rPr>
      </w:pPr>
    </w:p>
    <w:p w:rsidR="00A10713" w:rsidRPr="00181E0C" w:rsidRDefault="00A10713" w:rsidP="003405BA">
      <w:pPr>
        <w:spacing w:line="276" w:lineRule="auto"/>
        <w:ind w:left="270" w:hanging="270"/>
        <w:jc w:val="both"/>
        <w:rPr>
          <w:sz w:val="20"/>
        </w:rPr>
      </w:pPr>
      <w:r w:rsidRPr="006832D4">
        <w:rPr>
          <w:sz w:val="20"/>
        </w:rPr>
        <w:br w:type="page"/>
      </w:r>
      <w:r w:rsidRPr="00181E0C">
        <w:rPr>
          <w:sz w:val="20"/>
        </w:rPr>
        <w:lastRenderedPageBreak/>
        <w:t>4.</w:t>
      </w:r>
      <w:r w:rsidRPr="00181E0C">
        <w:rPr>
          <w:sz w:val="20"/>
        </w:rPr>
        <w:tab/>
        <w:t>Complete the following esterification reactions:</w:t>
      </w:r>
    </w:p>
    <w:p w:rsidR="00A10713" w:rsidRDefault="00A10713" w:rsidP="003405BA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7"/>
        <w:gridCol w:w="4616"/>
        <w:gridCol w:w="222"/>
        <w:gridCol w:w="3536"/>
      </w:tblGrid>
      <w:tr w:rsidR="006A3AE0" w:rsidRPr="009E1CE9" w:rsidTr="005622A8">
        <w:trPr>
          <w:trHeight w:val="2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  <w:lang w:bidi="x-none"/>
              </w:rPr>
            </w:pPr>
            <w:r w:rsidRPr="009E1CE9">
              <w:rPr>
                <w:sz w:val="20"/>
                <w:lang w:bidi="x-none"/>
              </w:rPr>
              <w:t>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5622A8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  <w:r>
              <w:object w:dxaOrig="3211" w:dyaOrig="1039">
                <v:shape id="_x0000_i1028" type="#_x0000_t75" style="width:160.5pt;height:51.75pt" o:ole="">
                  <v:imagedata r:id="rId10" o:title=""/>
                </v:shape>
                <o:OLEObject Type="Embed" ProgID="ChemDraw.Document.6.0" ShapeID="_x0000_i1028" DrawAspect="Content" ObjectID="_1639541880" r:id="rId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</w:tr>
      <w:tr w:rsidR="006A3AE0" w:rsidRPr="009E1CE9" w:rsidTr="00A107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  <w:lang w:bidi="x-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center"/>
              <w:rPr>
                <w:b/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center"/>
              <w:rPr>
                <w:b/>
                <w:sz w:val="20"/>
              </w:rPr>
            </w:pPr>
          </w:p>
        </w:tc>
      </w:tr>
      <w:tr w:rsidR="006A3AE0" w:rsidRPr="009E1CE9" w:rsidTr="005622A8">
        <w:trPr>
          <w:trHeight w:val="2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  <w:lang w:bidi="x-none"/>
              </w:rPr>
            </w:pPr>
            <w:r w:rsidRPr="009E1CE9">
              <w:rPr>
                <w:sz w:val="20"/>
                <w:lang w:bidi="x-none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5622A8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  <w:r>
              <w:object w:dxaOrig="3602" w:dyaOrig="1030">
                <v:shape id="_x0000_i1029" type="#_x0000_t75" style="width:180pt;height:51.75pt" o:ole="">
                  <v:imagedata r:id="rId12" o:title=""/>
                </v:shape>
                <o:OLEObject Type="Embed" ProgID="ChemDraw.Document.6.0" ShapeID="_x0000_i1029" DrawAspect="Content" ObjectID="_1639541881" r:id="rId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</w:tr>
      <w:tr w:rsidR="006A3AE0" w:rsidRPr="009E1CE9" w:rsidTr="00A107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  <w:lang w:bidi="x-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</w:tr>
      <w:tr w:rsidR="006A3AE0" w:rsidRPr="009E1CE9" w:rsidTr="005622A8">
        <w:trPr>
          <w:trHeight w:val="2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  <w:lang w:bidi="x-none"/>
              </w:rPr>
            </w:pPr>
            <w:r w:rsidRPr="009E1CE9">
              <w:rPr>
                <w:sz w:val="20"/>
                <w:lang w:bidi="x-none"/>
              </w:rPr>
              <w:t>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5622A8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  <w:r>
              <w:object w:dxaOrig="4486" w:dyaOrig="1027">
                <v:shape id="_x0000_i1030" type="#_x0000_t75" style="width:224.25pt;height:51pt" o:ole="">
                  <v:imagedata r:id="rId14" o:title=""/>
                </v:shape>
                <o:OLEObject Type="Embed" ProgID="ChemDraw.Document.6.0" ShapeID="_x0000_i1030" DrawAspect="Content" ObjectID="_1639541882" r:id="rId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</w:tr>
      <w:tr w:rsidR="006A3AE0" w:rsidRPr="009E1CE9" w:rsidTr="00A107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  <w:lang w:bidi="x-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</w:tr>
      <w:tr w:rsidR="006A3AE0" w:rsidRPr="009E1CE9" w:rsidTr="005622A8">
        <w:trPr>
          <w:trHeight w:val="2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  <w:lang w:bidi="x-none"/>
              </w:rPr>
            </w:pPr>
            <w:r w:rsidRPr="009E1CE9">
              <w:rPr>
                <w:sz w:val="20"/>
                <w:lang w:bidi="x-none"/>
              </w:rPr>
              <w:t>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AE0" w:rsidRPr="009E1CE9" w:rsidRDefault="005622A8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  <w:r>
              <w:object w:dxaOrig="2957" w:dyaOrig="867">
                <v:shape id="_x0000_i1031" type="#_x0000_t75" style="width:147.75pt;height:43.5pt" o:ole="">
                  <v:imagedata r:id="rId16" o:title=""/>
                </v:shape>
                <o:OLEObject Type="Embed" ProgID="ChemDraw.Document.6.0" ShapeID="_x0000_i1031" DrawAspect="Content" ObjectID="_1639541883" r:id="rId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  <w:p w:rsidR="006A3AE0" w:rsidRPr="009E1CE9" w:rsidRDefault="006A3AE0" w:rsidP="003405BA">
            <w:pPr>
              <w:spacing w:line="276" w:lineRule="auto"/>
              <w:ind w:left="360" w:right="-86" w:hanging="360"/>
              <w:jc w:val="both"/>
              <w:rPr>
                <w:sz w:val="20"/>
              </w:rPr>
            </w:pPr>
          </w:p>
        </w:tc>
      </w:tr>
    </w:tbl>
    <w:p w:rsidR="00A10713" w:rsidRDefault="00A10713" w:rsidP="003405BA">
      <w:pPr>
        <w:spacing w:line="276" w:lineRule="auto"/>
        <w:jc w:val="both"/>
      </w:pPr>
    </w:p>
    <w:p w:rsidR="00A10713" w:rsidRDefault="00A10713" w:rsidP="003405BA">
      <w:pPr>
        <w:spacing w:line="276" w:lineRule="auto"/>
      </w:pPr>
    </w:p>
    <w:p w:rsidR="00A10713" w:rsidRPr="006832D4" w:rsidRDefault="00A10713" w:rsidP="003405BA">
      <w:pPr>
        <w:spacing w:line="276" w:lineRule="auto"/>
        <w:jc w:val="both"/>
        <w:rPr>
          <w:sz w:val="20"/>
        </w:rPr>
      </w:pPr>
    </w:p>
    <w:sectPr w:rsidR="00A10713" w:rsidRPr="006832D4" w:rsidSect="00A10713"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E2" w:rsidRDefault="006E39E2">
      <w:r>
        <w:separator/>
      </w:r>
    </w:p>
  </w:endnote>
  <w:endnote w:type="continuationSeparator" w:id="0">
    <w:p w:rsidR="006E39E2" w:rsidRDefault="006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DB" w:rsidRDefault="001315D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5DB" w:rsidRDefault="00131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DB" w:rsidRPr="00F61E68" w:rsidRDefault="001315DB" w:rsidP="00A10713">
    <w:pPr>
      <w:pStyle w:val="Footer"/>
      <w:jc w:val="center"/>
      <w:rPr>
        <w:rFonts w:ascii="Times" w:hAnsi="Times"/>
        <w:sz w:val="20"/>
      </w:rPr>
    </w:pPr>
    <w:r w:rsidRPr="00F61E68">
      <w:rPr>
        <w:rStyle w:val="PageNumber"/>
        <w:rFonts w:ascii="Times" w:hAnsi="Times"/>
        <w:sz w:val="20"/>
      </w:rPr>
      <w:t xml:space="preserve">Benzoin - </w:t>
    </w:r>
    <w:r w:rsidRPr="00F61E68">
      <w:rPr>
        <w:rStyle w:val="PageNumber"/>
        <w:sz w:val="20"/>
      </w:rPr>
      <w:fldChar w:fldCharType="begin"/>
    </w:r>
    <w:r w:rsidRPr="00F61E68">
      <w:rPr>
        <w:rStyle w:val="PageNumber"/>
        <w:rFonts w:ascii="Times" w:hAnsi="Times"/>
        <w:sz w:val="20"/>
      </w:rPr>
      <w:instrText xml:space="preserve"> PAGE </w:instrText>
    </w:r>
    <w:r w:rsidRPr="00F61E68">
      <w:rPr>
        <w:rStyle w:val="PageNumber"/>
        <w:rFonts w:ascii="Times" w:hAnsi="Times"/>
        <w:sz w:val="20"/>
      </w:rPr>
      <w:fldChar w:fldCharType="separate"/>
    </w:r>
    <w:r w:rsidR="00D546CB">
      <w:rPr>
        <w:rStyle w:val="PageNumber"/>
        <w:rFonts w:ascii="Times" w:hAnsi="Times"/>
        <w:noProof/>
        <w:sz w:val="20"/>
      </w:rPr>
      <w:t>1</w:t>
    </w:r>
    <w:r w:rsidRPr="00F61E68">
      <w:rPr>
        <w:rStyle w:val="PageNumber"/>
        <w:rFonts w:ascii="Times" w:hAnsi="Time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E2" w:rsidRDefault="006E39E2">
      <w:r>
        <w:separator/>
      </w:r>
    </w:p>
  </w:footnote>
  <w:footnote w:type="continuationSeparator" w:id="0">
    <w:p w:rsidR="006E39E2" w:rsidRDefault="006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DB" w:rsidRPr="00F61E68" w:rsidRDefault="001315DB">
    <w:pPr>
      <w:pStyle w:val="Header"/>
      <w:tabs>
        <w:tab w:val="clear" w:pos="4320"/>
      </w:tabs>
      <w:rPr>
        <w:rFonts w:ascii="Times" w:hAnsi="Times"/>
        <w:sz w:val="20"/>
      </w:rPr>
    </w:pPr>
    <w:r w:rsidRPr="00F61E68">
      <w:rPr>
        <w:rFonts w:ascii="Times" w:hAnsi="Times"/>
        <w:sz w:val="20"/>
      </w:rPr>
      <w:t>CHE 311 L</w:t>
    </w:r>
    <w:r w:rsidRPr="00F61E68">
      <w:rPr>
        <w:rFonts w:ascii="Times" w:hAnsi="Times"/>
        <w:sz w:val="20"/>
      </w:rPr>
      <w:tab/>
      <w:t>Northern Kentucky University</w:t>
    </w:r>
  </w:p>
  <w:p w:rsidR="001315DB" w:rsidRPr="00F61E68" w:rsidRDefault="001315DB" w:rsidP="00A10713">
    <w:pPr>
      <w:pStyle w:val="Header"/>
      <w:rPr>
        <w:rFonts w:ascii="Times" w:hAnsi="Times"/>
        <w:sz w:val="20"/>
      </w:rPr>
    </w:pPr>
  </w:p>
  <w:p w:rsidR="001315DB" w:rsidRPr="00F61E68" w:rsidRDefault="001315DB" w:rsidP="00A10713">
    <w:pPr>
      <w:pStyle w:val="Header"/>
      <w:rPr>
        <w:rFonts w:ascii="Times" w:hAnsi="Time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4C4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5CA583A"/>
    <w:lvl w:ilvl="0">
      <w:numFmt w:val="decimal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A86"/>
    <w:rsid w:val="00046E03"/>
    <w:rsid w:val="00081D34"/>
    <w:rsid w:val="000A437C"/>
    <w:rsid w:val="001315DB"/>
    <w:rsid w:val="00181E0C"/>
    <w:rsid w:val="001E0F45"/>
    <w:rsid w:val="0029787E"/>
    <w:rsid w:val="003405BA"/>
    <w:rsid w:val="0036644C"/>
    <w:rsid w:val="004C08A4"/>
    <w:rsid w:val="005622A8"/>
    <w:rsid w:val="005F4B93"/>
    <w:rsid w:val="006A3AE0"/>
    <w:rsid w:val="006E39E2"/>
    <w:rsid w:val="00783C5F"/>
    <w:rsid w:val="008128B5"/>
    <w:rsid w:val="00822289"/>
    <w:rsid w:val="00925C8A"/>
    <w:rsid w:val="009A1BF1"/>
    <w:rsid w:val="009F6889"/>
    <w:rsid w:val="00A10713"/>
    <w:rsid w:val="00A54CB0"/>
    <w:rsid w:val="00AD0FAE"/>
    <w:rsid w:val="00C145FA"/>
    <w:rsid w:val="00C66628"/>
    <w:rsid w:val="00D546CB"/>
    <w:rsid w:val="00D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F01046F1-69E7-40E4-B48E-6B1AACB2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lvetica">
    <w:name w:val="helvetica"/>
    <w:basedOn w:val="Normal"/>
    <w:pPr>
      <w:tabs>
        <w:tab w:val="left" w:pos="540"/>
        <w:tab w:val="left" w:pos="2160"/>
      </w:tabs>
      <w:spacing w:line="480" w:lineRule="atLeast"/>
    </w:pPr>
    <w:rPr>
      <w:rFonts w:ascii="New York" w:hAnsi="New York"/>
    </w:rPr>
  </w:style>
  <w:style w:type="paragraph" w:styleId="BodyTextIndent">
    <w:name w:val="Body Text Indent"/>
    <w:basedOn w:val="Normal"/>
    <w:pPr>
      <w:ind w:left="360" w:hanging="360"/>
      <w:jc w:val="both"/>
    </w:pPr>
    <w:rPr>
      <w:sz w:val="20"/>
    </w:rPr>
  </w:style>
  <w:style w:type="paragraph" w:styleId="BodyTextIndent2">
    <w:name w:val="Body Text Indent 2"/>
    <w:basedOn w:val="Normal"/>
    <w:pPr>
      <w:spacing w:line="360" w:lineRule="atLeast"/>
      <w:ind w:left="270" w:hanging="270"/>
    </w:pPr>
    <w:rPr>
      <w:rFonts w:ascii="Times" w:hAnsi="Times"/>
    </w:rPr>
  </w:style>
  <w:style w:type="paragraph" w:styleId="Header">
    <w:name w:val="header"/>
    <w:basedOn w:val="Normal"/>
    <w:rsid w:val="00F61E68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6832D4"/>
    <w:pPr>
      <w:numPr>
        <w:numId w:val="2"/>
      </w:numPr>
    </w:pPr>
  </w:style>
  <w:style w:type="table" w:styleId="TableGrid">
    <w:name w:val="Table Grid"/>
    <w:basedOn w:val="TableNormal"/>
    <w:rsid w:val="006832D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28C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311 LabSupplement</vt:lpstr>
    </vt:vector>
  </TitlesOfParts>
  <Company>Northern Kentucky University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 LabSupplement</dc:title>
  <dc:subject/>
  <dc:creator>R. M. Wilson</dc:creator>
  <cp:keywords/>
  <cp:lastModifiedBy>Kc Russell</cp:lastModifiedBy>
  <cp:revision>2</cp:revision>
  <cp:lastPrinted>2006-01-05T15:02:00Z</cp:lastPrinted>
  <dcterms:created xsi:type="dcterms:W3CDTF">2020-01-03T12:25:00Z</dcterms:created>
  <dcterms:modified xsi:type="dcterms:W3CDTF">2020-01-03T12:25:00Z</dcterms:modified>
</cp:coreProperties>
</file>